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760"/>
        <w:gridCol w:w="3600"/>
      </w:tblGrid>
      <w:tr>
        <w:tc>
          <w:tcPr>
            <w:tcW w:type="dxa" w:w="5760"/>
            <w:tcBorders>
              <w:top w:val="none" w:color="FFFFFF" w:sz="0"/>
              <w:left w:val="none" w:color="FFFFFF" w:sz="0"/>
              <w:bottom w:val="none" w:color="FFFFFF" w:sz="0"/>
              <w:right w:val="none" w:color="FFFFFF" w:sz="0"/>
            </w:tcBorders>
            <w:shd w:fill="085041" w:val="clear"/>
            <w:tcMar>
              <w:top w:type="dxa" w:w="160"/>
              <w:left w:type="dxa" w:w="200"/>
              <w:bottom w:type="dxa" w:w="160"/>
              <w:right w:type="dxa" w:w="120"/>
            </w:tcMar>
            <w:vAlign w:val="center"/>
          </w:tcPr>
          <w:p>
            <w:pPr>
              <w:spacing w:after="60" w:before="0"/>
              <w:jc w:val="left"/>
            </w:pPr>
            <w:r>
              <w:rPr>
                <w:rFonts w:ascii="Calibri" w:cs="Calibri" w:eastAsia="Calibri" w:hAnsi="Calibri"/>
                <w:b/>
                <w:bCs/>
                <w:i w:val="false"/>
                <w:iCs w:val="false"/>
                <w:color w:val="FFFFFF"/>
                <w:sz w:val="40"/>
                <w:szCs w:val="40"/>
              </w:rPr>
              <w:t xml:space="preserve">WEALNESS</w:t>
            </w:r>
          </w:p>
          <w:p>
            <w:pPr>
              <w:spacing w:after="60" w:before="0"/>
              <w:jc w:val="left"/>
            </w:pPr>
            <w:r>
              <w:rPr>
                <w:rFonts w:ascii="Calibri" w:cs="Calibri" w:eastAsia="Calibri" w:hAnsi="Calibri"/>
                <w:b w:val="false"/>
                <w:bCs w:val="false"/>
                <w:i w:val="false"/>
                <w:iCs w:val="false"/>
                <w:color w:val="E1F5EE"/>
                <w:sz w:val="17"/>
                <w:szCs w:val="17"/>
              </w:rPr>
              <w:t xml:space="preserve">THE ART OF HEALTHCARE</w:t>
            </w:r>
          </w:p>
          <w:p>
            <w:pPr>
              <w:spacing w:after="40" w:before="0"/>
              <w:jc w:val="left"/>
            </w:pPr>
            <w:r>
              <w:rPr>
                <w:rFonts w:ascii="Calibri" w:cs="Calibri" w:eastAsia="Calibri" w:hAnsi="Calibri"/>
                <w:b w:val="false"/>
                <w:bCs w:val="false"/>
                <w:i w:val="false"/>
                <w:iCs w:val="false"/>
                <w:color w:val="4A4A4A"/>
                <w:sz w:val="18"/>
                <w:szCs w:val="18"/>
              </w:rPr>
              <w:t xml:space="preserve"/>
            </w:r>
          </w:p>
          <w:p>
            <w:pPr>
              <w:spacing w:after="60" w:before="0"/>
              <w:jc w:val="left"/>
            </w:pPr>
            <w:r>
              <w:rPr>
                <w:rFonts w:ascii="Calibri" w:cs="Calibri" w:eastAsia="Calibri" w:hAnsi="Calibri"/>
                <w:b/>
                <w:bCs/>
                <w:i w:val="false"/>
                <w:iCs w:val="false"/>
                <w:color w:val="FFFFFF"/>
                <w:sz w:val="22"/>
                <w:szCs w:val="22"/>
              </w:rPr>
              <w:t xml:space="preserve">CAPABILITIES STATEMENT</w:t>
            </w:r>
          </w:p>
        </w:tc>
        <w:tc>
          <w:tcPr>
            <w:tcW w:type="dxa" w:w="3600"/>
            <w:tcBorders>
              <w:top w:val="none" w:color="FFFFFF" w:sz="0"/>
              <w:left w:val="none" w:color="FFFFFF" w:sz="0"/>
              <w:bottom w:val="none" w:color="FFFFFF" w:sz="0"/>
              <w:right w:val="none" w:color="FFFFFF" w:sz="0"/>
            </w:tcBorders>
            <w:shd w:fill="1D9E75" w:val="clear"/>
            <w:tcMar>
              <w:top w:type="dxa" w:w="120"/>
              <w:left w:type="dxa" w:w="160"/>
              <w:bottom w:type="dxa" w:w="120"/>
              <w:right w:type="dxa" w:w="120"/>
            </w:tcMar>
            <w:vAlign w:val="center"/>
          </w:tcPr>
          <w:p>
            <w:pPr>
              <w:spacing w:after="40" w:before="0"/>
              <w:jc w:val="left"/>
            </w:pPr>
            <w:r>
              <w:rPr>
                <w:rFonts w:ascii="Calibri" w:cs="Calibri" w:eastAsia="Calibri" w:hAnsi="Calibri"/>
                <w:b/>
                <w:bCs/>
                <w:i w:val="false"/>
                <w:iCs w:val="false"/>
                <w:color w:val="FFFFFF"/>
                <w:sz w:val="17"/>
                <w:szCs w:val="17"/>
              </w:rPr>
              <w:t xml:space="preserve">Dr. NiAsia Hazelton-Smalls, DrHA, MPH</w:t>
            </w:r>
          </w:p>
          <w:p>
            <w:pPr>
              <w:spacing w:after="20" w:before="0"/>
              <w:jc w:val="left"/>
            </w:pPr>
            <w:r>
              <w:rPr>
                <w:rFonts w:ascii="Calibri" w:cs="Calibri" w:eastAsia="Calibri" w:hAnsi="Calibri"/>
                <w:b w:val="false"/>
                <w:bCs w:val="false"/>
                <w:i w:val="false"/>
                <w:iCs w:val="false"/>
                <w:color w:val="FFFFFF"/>
                <w:sz w:val="16"/>
                <w:szCs w:val="16"/>
              </w:rPr>
              <w:t xml:space="preserve">Founder &amp; Principal Consultant</w:t>
            </w:r>
          </w:p>
          <w:p>
            <w:pPr>
              <w:spacing w:after="20" w:before="0"/>
              <w:jc w:val="left"/>
            </w:pPr>
            <w:r>
              <w:rPr>
                <w:rFonts w:ascii="Calibri" w:cs="Calibri" w:eastAsia="Calibri" w:hAnsi="Calibri"/>
                <w:b w:val="false"/>
                <w:bCs w:val="false"/>
                <w:i w:val="false"/>
                <w:iCs w:val="false"/>
                <w:color w:val="FFFFFF"/>
                <w:sz w:val="16"/>
                <w:szCs w:val="16"/>
              </w:rPr>
              <w:t xml:space="preserve">connect@wealness.org</w:t>
            </w:r>
          </w:p>
          <w:p>
            <w:pPr>
              <w:spacing w:after="20" w:before="0"/>
              <w:jc w:val="left"/>
            </w:pPr>
            <w:r>
              <w:rPr>
                <w:rFonts w:ascii="Calibri" w:cs="Calibri" w:eastAsia="Calibri" w:hAnsi="Calibri"/>
                <w:b w:val="false"/>
                <w:bCs w:val="false"/>
                <w:i w:val="false"/>
                <w:iCs w:val="false"/>
                <w:color w:val="FFFFFF"/>
                <w:sz w:val="16"/>
                <w:szCs w:val="16"/>
              </w:rPr>
              <w:t xml:space="preserve">+1 843-900-7688</w:t>
            </w:r>
          </w:p>
          <w:p>
            <w:pPr>
              <w:spacing w:after="20" w:before="0"/>
              <w:jc w:val="left"/>
            </w:pPr>
            <w:r>
              <w:rPr>
                <w:rFonts w:ascii="Calibri" w:cs="Calibri" w:eastAsia="Calibri" w:hAnsi="Calibri"/>
                <w:b w:val="false"/>
                <w:bCs w:val="false"/>
                <w:i w:val="false"/>
                <w:iCs w:val="false"/>
                <w:color w:val="FFFFFF"/>
                <w:sz w:val="16"/>
                <w:szCs w:val="16"/>
              </w:rPr>
              <w:t xml:space="preserve">www.wealness.org</w:t>
            </w:r>
          </w:p>
          <w:p>
            <w:pPr>
              <w:spacing w:after="60" w:before="0"/>
              <w:jc w:val="left"/>
            </w:pPr>
            <w:r>
              <w:rPr>
                <w:rFonts w:ascii="Calibri" w:cs="Calibri" w:eastAsia="Calibri" w:hAnsi="Calibri"/>
                <w:b w:val="false"/>
                <w:bCs w:val="false"/>
                <w:i w:val="false"/>
                <w:iCs w:val="false"/>
                <w:color w:val="FFFFFF"/>
                <w:sz w:val="16"/>
                <w:szCs w:val="16"/>
              </w:rPr>
              <w:t xml:space="preserve">North Charleston, SC 29406</w:t>
            </w:r>
          </w:p>
        </w:tc>
      </w:tr>
    </w:tbl>
    <w:p>
      <w:pPr>
        <w:spacing w:after="120" w:before="0"/>
        <w:jc w:val="left"/>
      </w:pPr>
      <w:r>
        <w:rPr>
          <w:rFonts w:ascii="Calibri" w:cs="Calibri" w:eastAsia="Calibri" w:hAnsi="Calibri"/>
          <w:b w:val="false"/>
          <w:bCs w:val="false"/>
          <w:i w:val="false"/>
          <w:iCs w:val="false"/>
          <w:color w:val="4A4A4A"/>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85041" w:val="clear"/>
            <w:tcMar>
              <w:top w:type="dxa" w:w="60"/>
              <w:left w:type="dxa" w:w="120"/>
              <w:bottom w:type="dxa" w:w="60"/>
              <w:right w:type="dxa" w:w="120"/>
            </w:tcMar>
          </w:tcPr>
          <w:p>
            <w:pPr>
              <w:spacing w:after="60" w:before="0"/>
              <w:jc w:val="left"/>
            </w:pPr>
            <w:r>
              <w:rPr>
                <w:rFonts w:ascii="Calibri" w:cs="Calibri" w:eastAsia="Calibri" w:hAnsi="Calibri"/>
                <w:b/>
                <w:bCs/>
                <w:i w:val="false"/>
                <w:iCs w:val="false"/>
                <w:color w:val="FFFFFF"/>
                <w:sz w:val="20"/>
                <w:szCs w:val="20"/>
              </w:rPr>
              <w:t xml:space="preserve">COMPANY OVERVIEW</w:t>
            </w:r>
          </w:p>
        </w:tc>
      </w:tr>
    </w:tbl>
    <w:p>
      <w:pPr>
        <w:spacing w:after="60" w:before="0"/>
        <w:jc w:val="left"/>
      </w:pPr>
      <w:r>
        <w:rPr>
          <w:rFonts w:ascii="Calibri" w:cs="Calibri" w:eastAsia="Calibri" w:hAnsi="Calibri"/>
          <w:b w:val="false"/>
          <w:bCs w:val="false"/>
          <w:i w:val="false"/>
          <w:iCs w:val="false"/>
          <w:color w:val="4A4A4A"/>
          <w:sz w:val="18"/>
          <w:szCs w:val="18"/>
        </w:rPr>
        <w:t xml:space="preserve"/>
      </w:r>
    </w:p>
    <w:p>
      <w:pPr>
        <w:spacing w:after="80" w:before="0"/>
        <w:jc w:val="left"/>
      </w:pPr>
      <w:r>
        <w:rPr>
          <w:rFonts w:ascii="Calibri" w:cs="Calibri" w:eastAsia="Calibri" w:hAnsi="Calibri"/>
          <w:b w:val="false"/>
          <w:bCs w:val="false"/>
          <w:i w:val="false"/>
          <w:iCs w:val="false"/>
          <w:color w:val="4A4A4A"/>
          <w:sz w:val="17"/>
          <w:szCs w:val="17"/>
        </w:rPr>
        <w:t xml:space="preserve">Wealness is a doctoral-led public health consulting and health navigation firm rooted in South Carolina. Founded by Dr. NiAsia Hazelton-Smalls — a published researcher and public health practitioner with over twenty years of direct community practice — Wealness delivers research-backed consulting, federal and state contract services, and health navigation for healthcare organizations, government agencies, educational institutions, nonprofits, and South Carolina families. We operate at the intersection of research, policy, and community — where the need is greatest and the impact is most lasting.</w:t>
      </w:r>
    </w:p>
    <w:p>
      <w:pPr>
        <w:spacing w:after="60" w:before="0"/>
        <w:jc w:val="left"/>
      </w:pPr>
      <w:r>
        <w:rPr>
          <w:rFonts w:ascii="Calibri" w:cs="Calibri" w:eastAsia="Calibri" w:hAnsi="Calibri"/>
          <w:b w:val="false"/>
          <w:bCs w:val="false"/>
          <w:i w:val="false"/>
          <w:iCs w:val="false"/>
          <w:color w:val="4A4A4A"/>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85041" w:val="clear"/>
            <w:tcMar>
              <w:top w:type="dxa" w:w="60"/>
              <w:left w:type="dxa" w:w="120"/>
              <w:bottom w:type="dxa" w:w="60"/>
              <w:right w:type="dxa" w:w="120"/>
            </w:tcMar>
          </w:tcPr>
          <w:p>
            <w:pPr>
              <w:spacing w:after="60" w:before="0"/>
              <w:jc w:val="left"/>
            </w:pPr>
            <w:r>
              <w:rPr>
                <w:rFonts w:ascii="Calibri" w:cs="Calibri" w:eastAsia="Calibri" w:hAnsi="Calibri"/>
                <w:b/>
                <w:bCs/>
                <w:i w:val="false"/>
                <w:iCs w:val="false"/>
                <w:color w:val="FFFFFF"/>
                <w:sz w:val="20"/>
                <w:szCs w:val="20"/>
              </w:rPr>
              <w:t xml:space="preserve">CORE COMPETENCIES</w:t>
            </w:r>
          </w:p>
        </w:tc>
      </w:tr>
    </w:tbl>
    <w:p>
      <w:pPr>
        <w:spacing w:after="60" w:before="0"/>
        <w:jc w:val="left"/>
      </w:pPr>
      <w:r>
        <w:rPr>
          <w:rFonts w:ascii="Calibri" w:cs="Calibri" w:eastAsia="Calibri" w:hAnsi="Calibri"/>
          <w:b w:val="false"/>
          <w:bCs w:val="false"/>
          <w:i w:val="false"/>
          <w:iCs w:val="false"/>
          <w:color w:val="4A4A4A"/>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80"/>
              <w:left w:type="dxa" w:w="0"/>
              <w:bottom w:type="dxa" w:w="80"/>
              <w:right w:type="dxa" w:w="120"/>
            </w:tcMar>
          </w:tcPr>
          <w:p>
            <w:pPr>
              <w:spacing w:after="60" w:before="0"/>
              <w:jc w:val="left"/>
            </w:pPr>
            <w:r>
              <w:rPr>
                <w:rFonts w:ascii="Calibri" w:cs="Calibri" w:eastAsia="Calibri" w:hAnsi="Calibri"/>
                <w:b/>
                <w:bCs/>
                <w:i w:val="false"/>
                <w:iCs w:val="false"/>
                <w:color w:val="085041"/>
                <w:sz w:val="18"/>
                <w:szCs w:val="18"/>
              </w:rPr>
              <w:t xml:space="preserve">Primary Service Areas</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Health equity strategy &amp; program development</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Community health needs assessment</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Organizational capacity building</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Education systems strategy &amp; student wellness</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Federal &amp; state contract technical assistance</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Workforce development &amp; professional training</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Stakeholder engagement &amp; community mobilization</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Research consultation &amp; focus group facilitation</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Health disparities research &amp; program evaluation</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Health literacy training &amp; keynote speaking</w:t>
            </w:r>
          </w:p>
        </w:tc>
        <w:tc>
          <w:tcPr>
            <w:tcW w:type="dxa" w:w="4680"/>
            <w:tcBorders>
              <w:top w:val="none" w:color="FFFFFF" w:sz="0"/>
              <w:left w:val="single" w:color="CCCCCC" w:sz="4"/>
              <w:bottom w:val="none" w:color="FFFFFF" w:sz="0"/>
              <w:right w:val="none" w:color="FFFFFF" w:sz="0"/>
            </w:tcBorders>
            <w:tcMar>
              <w:top w:type="dxa" w:w="80"/>
              <w:left w:type="dxa" w:w="120"/>
              <w:bottom w:type="dxa" w:w="80"/>
              <w:right w:type="dxa" w:w="0"/>
            </w:tcMar>
          </w:tcPr>
          <w:p>
            <w:pPr>
              <w:spacing w:after="60" w:before="0"/>
              <w:jc w:val="left"/>
            </w:pPr>
            <w:r>
              <w:rPr>
                <w:rFonts w:ascii="Calibri" w:cs="Calibri" w:eastAsia="Calibri" w:hAnsi="Calibri"/>
                <w:b/>
                <w:bCs/>
                <w:i w:val="false"/>
                <w:iCs w:val="false"/>
                <w:color w:val="085041"/>
                <w:sz w:val="18"/>
                <w:szCs w:val="18"/>
              </w:rPr>
              <w:t xml:space="preserve">Differentiators</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Doctorate in Health Administration — MUSC</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Master of Public Health — Health Policy &amp; Mgmt</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3 peer-reviewed publications — nationally indexed</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20+ years embedded community practice in SC</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500+ organizations &amp; families served</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Expert in minority, rural &amp; underserved populations</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Available as prime or subcontractor</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Woman-Owned Small Business (WOSB)</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SAM.gov registered — UEI available upon request</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Capabilities briefings available within 48 hours</w:t>
            </w:r>
          </w:p>
        </w:tc>
      </w:tr>
    </w:tbl>
    <w:p>
      <w:pPr>
        <w:spacing w:after="120" w:before="0"/>
        <w:jc w:val="left"/>
      </w:pPr>
      <w:r>
        <w:rPr>
          <w:rFonts w:ascii="Calibri" w:cs="Calibri" w:eastAsia="Calibri" w:hAnsi="Calibri"/>
          <w:b w:val="false"/>
          <w:bCs w:val="false"/>
          <w:i w:val="false"/>
          <w:iCs w:val="false"/>
          <w:color w:val="4A4A4A"/>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85041" w:val="clear"/>
            <w:tcMar>
              <w:top w:type="dxa" w:w="60"/>
              <w:left w:type="dxa" w:w="120"/>
              <w:bottom w:type="dxa" w:w="60"/>
              <w:right w:type="dxa" w:w="120"/>
            </w:tcMar>
          </w:tcPr>
          <w:p>
            <w:pPr>
              <w:spacing w:after="60" w:before="0"/>
              <w:jc w:val="left"/>
            </w:pPr>
            <w:r>
              <w:rPr>
                <w:rFonts w:ascii="Calibri" w:cs="Calibri" w:eastAsia="Calibri" w:hAnsi="Calibri"/>
                <w:b/>
                <w:bCs/>
                <w:i w:val="false"/>
                <w:iCs w:val="false"/>
                <w:color w:val="FFFFFF"/>
                <w:sz w:val="20"/>
                <w:szCs w:val="20"/>
              </w:rPr>
              <w:t xml:space="preserve">PAST PERFORMANCE &amp; RESEARCH CREDENTIALS</w:t>
            </w:r>
          </w:p>
        </w:tc>
      </w:tr>
    </w:tbl>
    <w:p>
      <w:pPr>
        <w:spacing w:after="60" w:before="0"/>
        <w:jc w:val="left"/>
      </w:pPr>
      <w:r>
        <w:rPr>
          <w:rFonts w:ascii="Calibri" w:cs="Calibri" w:eastAsia="Calibri" w:hAnsi="Calibri"/>
          <w:b w:val="false"/>
          <w:bCs w:val="false"/>
          <w:i w:val="false"/>
          <w:iCs w:val="false"/>
          <w:color w:val="4A4A4A"/>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80"/>
              <w:left w:type="dxa" w:w="0"/>
              <w:bottom w:type="dxa" w:w="80"/>
              <w:right w:type="dxa" w:w="120"/>
            </w:tcMar>
          </w:tcPr>
          <w:p>
            <w:pPr>
              <w:spacing w:after="60" w:before="0"/>
              <w:jc w:val="left"/>
            </w:pPr>
            <w:r>
              <w:rPr>
                <w:rFonts w:ascii="Calibri" w:cs="Calibri" w:eastAsia="Calibri" w:hAnsi="Calibri"/>
                <w:b/>
                <w:bCs/>
                <w:i w:val="false"/>
                <w:iCs w:val="false"/>
                <w:color w:val="085041"/>
                <w:sz w:val="18"/>
                <w:szCs w:val="18"/>
              </w:rPr>
              <w:t xml:space="preserve">Peer-Reviewed Publications</w:t>
            </w:r>
          </w:p>
          <w:p>
            <w:pPr>
              <w:spacing w:after="20" w:before="20"/>
              <w:ind w:left="160"/>
              <w:jc w:val="left"/>
            </w:pPr>
            <w:r>
              <w:rPr>
                <w:rFonts w:ascii="Calibri" w:cs="Calibri" w:eastAsia="Calibri" w:hAnsi="Calibri"/>
                <w:b/>
                <w:bCs/>
                <w:i w:val="false"/>
                <w:iCs w:val="false"/>
                <w:color w:val="085041"/>
                <w:sz w:val="17"/>
                <w:szCs w:val="17"/>
              </w:rPr>
              <w:t xml:space="preserve">Publication 1: </w:t>
            </w:r>
            <w:r>
              <w:rPr>
                <w:rFonts w:ascii="Calibri" w:cs="Calibri" w:eastAsia="Calibri" w:hAnsi="Calibri"/>
                <w:b w:val="false"/>
                <w:bCs w:val="false"/>
                <w:i w:val="false"/>
                <w:iCs w:val="false"/>
                <w:color w:val="4A4A4A"/>
                <w:sz w:val="17"/>
                <w:szCs w:val="17"/>
              </w:rPr>
              <w:t xml:space="preserve">Community health intervention targeting HPV vaccination barriers in African American communities in South Carolina — community-centered approach and culturally competent outreach strategy.</w:t>
            </w:r>
          </w:p>
          <w:p>
            <w:pPr>
              <w:spacing w:after="40" w:before="0"/>
              <w:jc w:val="left"/>
            </w:pPr>
            <w:r>
              <w:rPr>
                <w:rFonts w:ascii="Calibri" w:cs="Calibri" w:eastAsia="Calibri" w:hAnsi="Calibri"/>
                <w:b w:val="false"/>
                <w:bCs w:val="false"/>
                <w:i w:val="false"/>
                <w:iCs w:val="false"/>
                <w:color w:val="4A4A4A"/>
                <w:sz w:val="18"/>
                <w:szCs w:val="18"/>
              </w:rPr>
              <w:t xml:space="preserve"/>
            </w:r>
          </w:p>
          <w:p>
            <w:pPr>
              <w:spacing w:after="20" w:before="20"/>
              <w:ind w:left="160"/>
              <w:jc w:val="left"/>
            </w:pPr>
            <w:r>
              <w:rPr>
                <w:rFonts w:ascii="Calibri" w:cs="Calibri" w:eastAsia="Calibri" w:hAnsi="Calibri"/>
                <w:b/>
                <w:bCs/>
                <w:i w:val="false"/>
                <w:iCs w:val="false"/>
                <w:color w:val="085041"/>
                <w:sz w:val="17"/>
                <w:szCs w:val="17"/>
              </w:rPr>
              <w:t xml:space="preserve">Publication 2: </w:t>
            </w:r>
            <w:r>
              <w:rPr>
                <w:rFonts w:ascii="Calibri" w:cs="Calibri" w:eastAsia="Calibri" w:hAnsi="Calibri"/>
                <w:b w:val="false"/>
                <w:bCs w:val="false"/>
                <w:i w:val="false"/>
                <w:iCs w:val="false"/>
                <w:color w:val="4A4A4A"/>
                <w:sz w:val="17"/>
                <w:szCs w:val="17"/>
              </w:rPr>
              <w:t xml:space="preserve">Systematic review of precision medicine equity — examining minority population stakeholder representation and communication gaps across the U.S. healthcare system.</w:t>
            </w:r>
          </w:p>
          <w:p>
            <w:pPr>
              <w:spacing w:after="40" w:before="0"/>
              <w:jc w:val="left"/>
            </w:pPr>
            <w:r>
              <w:rPr>
                <w:rFonts w:ascii="Calibri" w:cs="Calibri" w:eastAsia="Calibri" w:hAnsi="Calibri"/>
                <w:b w:val="false"/>
                <w:bCs w:val="false"/>
                <w:i w:val="false"/>
                <w:iCs w:val="false"/>
                <w:color w:val="4A4A4A"/>
                <w:sz w:val="18"/>
                <w:szCs w:val="18"/>
              </w:rPr>
              <w:t xml:space="preserve"/>
            </w:r>
          </w:p>
          <w:p>
            <w:pPr>
              <w:spacing w:after="20" w:before="20"/>
              <w:ind w:left="160"/>
              <w:jc w:val="left"/>
            </w:pPr>
            <w:r>
              <w:rPr>
                <w:rFonts w:ascii="Calibri" w:cs="Calibri" w:eastAsia="Calibri" w:hAnsi="Calibri"/>
                <w:b/>
                <w:bCs/>
                <w:i w:val="false"/>
                <w:iCs w:val="false"/>
                <w:color w:val="085041"/>
                <w:sz w:val="17"/>
                <w:szCs w:val="17"/>
              </w:rPr>
              <w:t xml:space="preserve">Publication 3: </w:t>
            </w:r>
            <w:r>
              <w:rPr>
                <w:rFonts w:ascii="Calibri" w:cs="Calibri" w:eastAsia="Calibri" w:hAnsi="Calibri"/>
                <w:b w:val="false"/>
                <w:bCs w:val="false"/>
                <w:i w:val="false"/>
                <w:iCs w:val="false"/>
                <w:color w:val="4A4A4A"/>
                <w:sz w:val="17"/>
                <w:szCs w:val="17"/>
              </w:rPr>
              <w:t xml:space="preserve">AI integration in education — operationalizing learning principles and building educator frameworks for responsible AI adoption in K–12 and higher education environments.</w:t>
            </w:r>
          </w:p>
        </w:tc>
        <w:tc>
          <w:tcPr>
            <w:tcW w:type="dxa" w:w="4680"/>
            <w:tcBorders>
              <w:top w:val="none" w:color="FFFFFF" w:sz="0"/>
              <w:left w:val="single" w:color="CCCCCC" w:sz="4"/>
              <w:bottom w:val="none" w:color="FFFFFF" w:sz="0"/>
              <w:right w:val="none" w:color="FFFFFF" w:sz="0"/>
            </w:tcBorders>
            <w:tcMar>
              <w:top w:type="dxa" w:w="80"/>
              <w:left w:type="dxa" w:w="120"/>
              <w:bottom w:type="dxa" w:w="80"/>
              <w:right w:type="dxa" w:w="0"/>
            </w:tcMar>
          </w:tcPr>
          <w:p>
            <w:pPr>
              <w:spacing w:after="60" w:before="0"/>
              <w:jc w:val="left"/>
            </w:pPr>
            <w:r>
              <w:rPr>
                <w:rFonts w:ascii="Calibri" w:cs="Calibri" w:eastAsia="Calibri" w:hAnsi="Calibri"/>
                <w:b/>
                <w:bCs/>
                <w:i w:val="false"/>
                <w:iCs w:val="false"/>
                <w:color w:val="085041"/>
                <w:sz w:val="18"/>
                <w:szCs w:val="18"/>
              </w:rPr>
              <w:t xml:space="preserve">Community Practice Record</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Health equity consulting for nonprofit and community organizations across South Carolina</w:t>
            </w:r>
          </w:p>
          <w:p>
            <w:pPr>
              <w:spacing w:after="40" w:before="0"/>
              <w:jc w:val="left"/>
            </w:pPr>
            <w:r>
              <w:rPr>
                <w:rFonts w:ascii="Calibri" w:cs="Calibri" w:eastAsia="Calibri" w:hAnsi="Calibri"/>
                <w:b w:val="false"/>
                <w:bCs w:val="false"/>
                <w:i w:val="false"/>
                <w:iCs w:val="false"/>
                <w:color w:val="4A4A4A"/>
                <w:sz w:val="18"/>
                <w:szCs w:val="18"/>
              </w:rPr>
              <w:t xml:space="preserve"/>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Education systems strategy for rural Title I schools and at-risk youth populations</w:t>
            </w:r>
          </w:p>
          <w:p>
            <w:pPr>
              <w:spacing w:after="40" w:before="0"/>
              <w:jc w:val="left"/>
            </w:pPr>
            <w:r>
              <w:rPr>
                <w:rFonts w:ascii="Calibri" w:cs="Calibri" w:eastAsia="Calibri" w:hAnsi="Calibri"/>
                <w:b w:val="false"/>
                <w:bCs w:val="false"/>
                <w:i w:val="false"/>
                <w:iCs w:val="false"/>
                <w:color w:val="4A4A4A"/>
                <w:sz w:val="18"/>
                <w:szCs w:val="18"/>
              </w:rPr>
              <w:t xml:space="preserve"/>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Community health navigation for families with autism and developmental disabilities</w:t>
            </w:r>
          </w:p>
          <w:p>
            <w:pPr>
              <w:spacing w:after="40" w:before="0"/>
              <w:jc w:val="left"/>
            </w:pPr>
            <w:r>
              <w:rPr>
                <w:rFonts w:ascii="Calibri" w:cs="Calibri" w:eastAsia="Calibri" w:hAnsi="Calibri"/>
                <w:b w:val="false"/>
                <w:bCs w:val="false"/>
                <w:i w:val="false"/>
                <w:iCs w:val="false"/>
                <w:color w:val="4A4A4A"/>
                <w:sz w:val="18"/>
                <w:szCs w:val="18"/>
              </w:rPr>
              <w:t xml:space="preserve"/>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Research consultation and focus group facilitation for academic and government-funded studies</w:t>
            </w:r>
          </w:p>
          <w:p>
            <w:pPr>
              <w:spacing w:after="40" w:before="0"/>
              <w:jc w:val="left"/>
            </w:pPr>
            <w:r>
              <w:rPr>
                <w:rFonts w:ascii="Calibri" w:cs="Calibri" w:eastAsia="Calibri" w:hAnsi="Calibri"/>
                <w:b w:val="false"/>
                <w:bCs w:val="false"/>
                <w:i w:val="false"/>
                <w:iCs w:val="false"/>
                <w:color w:val="4A4A4A"/>
                <w:sz w:val="18"/>
                <w:szCs w:val="18"/>
              </w:rPr>
              <w:t xml:space="preserve"/>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Professional development and health equity training for healthcare and education workforces</w:t>
            </w:r>
          </w:p>
          <w:p>
            <w:pPr>
              <w:spacing w:after="40" w:before="0"/>
              <w:jc w:val="left"/>
            </w:pPr>
            <w:r>
              <w:rPr>
                <w:rFonts w:ascii="Calibri" w:cs="Calibri" w:eastAsia="Calibri" w:hAnsi="Calibri"/>
                <w:b w:val="false"/>
                <w:bCs w:val="false"/>
                <w:i w:val="false"/>
                <w:iCs w:val="false"/>
                <w:color w:val="4A4A4A"/>
                <w:sz w:val="18"/>
                <w:szCs w:val="18"/>
              </w:rPr>
              <w:t xml:space="preserve"/>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500+ businesses and organizations served across SC since founding</w:t>
            </w:r>
          </w:p>
        </w:tc>
      </w:tr>
    </w:tbl>
    <w:p>
      <w:pPr>
        <w:spacing w:after="120" w:before="0"/>
        <w:jc w:val="left"/>
      </w:pPr>
      <w:r>
        <w:rPr>
          <w:rFonts w:ascii="Calibri" w:cs="Calibri" w:eastAsia="Calibri" w:hAnsi="Calibri"/>
          <w:b w:val="false"/>
          <w:bCs w:val="false"/>
          <w:i w:val="false"/>
          <w:iCs w:val="false"/>
          <w:color w:val="4A4A4A"/>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85041" w:val="clear"/>
            <w:tcMar>
              <w:top w:type="dxa" w:w="60"/>
              <w:left w:type="dxa" w:w="120"/>
              <w:bottom w:type="dxa" w:w="60"/>
              <w:right w:type="dxa" w:w="120"/>
            </w:tcMar>
          </w:tcPr>
          <w:p>
            <w:pPr>
              <w:spacing w:after="60" w:before="0"/>
              <w:jc w:val="left"/>
            </w:pPr>
            <w:r>
              <w:rPr>
                <w:rFonts w:ascii="Calibri" w:cs="Calibri" w:eastAsia="Calibri" w:hAnsi="Calibri"/>
                <w:b/>
                <w:bCs/>
                <w:i w:val="false"/>
                <w:iCs w:val="false"/>
                <w:color w:val="FFFFFF"/>
                <w:sz w:val="20"/>
                <w:szCs w:val="20"/>
              </w:rPr>
              <w:t xml:space="preserve">CONTRACT DATA &amp; NAICS CODES</w:t>
            </w:r>
          </w:p>
        </w:tc>
      </w:tr>
    </w:tbl>
    <w:p>
      <w:pPr>
        <w:spacing w:after="60" w:before="0"/>
        <w:jc w:val="left"/>
      </w:pPr>
      <w:r>
        <w:rPr>
          <w:rFonts w:ascii="Calibri" w:cs="Calibri" w:eastAsia="Calibri" w:hAnsi="Calibri"/>
          <w:b w:val="false"/>
          <w:bCs w:val="false"/>
          <w:i w:val="false"/>
          <w:iCs w:val="false"/>
          <w:color w:val="4A4A4A"/>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7560"/>
      </w:tblGrid>
      <w:tr>
        <w:tc>
          <w:tcPr>
            <w:tcW w:type="dxa" w:w="1800"/>
            <w:tcBorders>
              <w:top w:val="none" w:color="FFFFFF" w:sz="0"/>
              <w:left w:val="none" w:color="FFFFFF" w:sz="0"/>
              <w:bottom w:val="single" w:color="CCCCCC" w:sz="4"/>
              <w:right w:val="none" w:color="FFFFFF" w:sz="0"/>
            </w:tcBorders>
            <w:shd w:fill="E1F5EE" w:val="clear"/>
            <w:tcMar>
              <w:top w:type="dxa" w:w="60"/>
              <w:left w:type="dxa" w:w="100"/>
              <w:bottom w:type="dxa" w:w="60"/>
              <w:right w:type="dxa" w:w="100"/>
            </w:tcMar>
          </w:tcPr>
          <w:p>
            <w:pPr>
              <w:spacing w:after="60" w:before="0"/>
              <w:jc w:val="left"/>
            </w:pPr>
            <w:r>
              <w:rPr>
                <w:rFonts w:ascii="Calibri" w:cs="Calibri" w:eastAsia="Calibri" w:hAnsi="Calibri"/>
                <w:b/>
                <w:bCs/>
                <w:i w:val="false"/>
                <w:iCs w:val="false"/>
                <w:color w:val="085041"/>
                <w:sz w:val="16"/>
                <w:szCs w:val="16"/>
              </w:rPr>
              <w:t xml:space="preserve">NAICS CODE</w:t>
            </w:r>
          </w:p>
        </w:tc>
        <w:tc>
          <w:tcPr>
            <w:tcW w:type="dxa" w:w="7560"/>
            <w:tcBorders>
              <w:top w:val="none" w:color="FFFFFF" w:sz="0"/>
              <w:left w:val="none" w:color="FFFFFF" w:sz="0"/>
              <w:bottom w:val="single" w:color="CCCCCC" w:sz="4"/>
              <w:right w:val="none" w:color="FFFFFF" w:sz="0"/>
            </w:tcBorders>
            <w:shd w:fill="E1F5EE" w:val="clear"/>
            <w:tcMar>
              <w:top w:type="dxa" w:w="60"/>
              <w:left w:type="dxa" w:w="100"/>
              <w:bottom w:type="dxa" w:w="60"/>
              <w:right w:type="dxa" w:w="100"/>
            </w:tcMar>
          </w:tcPr>
          <w:p>
            <w:pPr>
              <w:spacing w:after="60" w:before="0"/>
              <w:jc w:val="left"/>
            </w:pPr>
            <w:r>
              <w:rPr>
                <w:rFonts w:ascii="Calibri" w:cs="Calibri" w:eastAsia="Calibri" w:hAnsi="Calibri"/>
                <w:b/>
                <w:bCs/>
                <w:i w:val="false"/>
                <w:iCs w:val="false"/>
                <w:color w:val="085041"/>
                <w:sz w:val="16"/>
                <w:szCs w:val="16"/>
              </w:rPr>
              <w:t xml:space="preserve">DESCRIPTION</w:t>
            </w:r>
          </w:p>
        </w:tc>
      </w:tr>
      <w:tr>
        <w:tc>
          <w:tcPr>
            <w:tcW w:type="dxa" w:w="1800"/>
            <w:tcBorders>
              <w:top w:val="none" w:color="FFFFFF" w:sz="0"/>
              <w:left w:val="none" w:color="FFFFFF" w:sz="0"/>
              <w:bottom w:val="single" w:color="CCCCCC" w:sz="4"/>
              <w:right w:val="none" w:color="FFFFFF" w:sz="0"/>
            </w:tcBorders>
            <w:shd w:fill="FFFFFF" w:val="clear"/>
            <w:tcMar>
              <w:top w:type="dxa" w:w="60"/>
              <w:left w:type="dxa" w:w="100"/>
              <w:bottom w:type="dxa" w:w="60"/>
              <w:right w:type="dxa" w:w="100"/>
            </w:tcMar>
          </w:tcPr>
          <w:p>
            <w:pPr>
              <w:spacing w:after="60" w:before="0"/>
              <w:jc w:val="left"/>
            </w:pPr>
            <w:r>
              <w:rPr>
                <w:rFonts w:ascii="Calibri" w:cs="Calibri" w:eastAsia="Calibri" w:hAnsi="Calibri"/>
                <w:b/>
                <w:bCs/>
                <w:i w:val="false"/>
                <w:iCs w:val="false"/>
                <w:color w:val="1D9E75"/>
                <w:sz w:val="17"/>
                <w:szCs w:val="17"/>
              </w:rPr>
              <w:t xml:space="preserve">541611</w:t>
            </w:r>
          </w:p>
        </w:tc>
        <w:tc>
          <w:tcPr>
            <w:tcW w:type="dxa" w:w="7560"/>
            <w:tcBorders>
              <w:top w:val="none" w:color="FFFFFF" w:sz="0"/>
              <w:left w:val="none" w:color="FFFFFF" w:sz="0"/>
              <w:bottom w:val="single" w:color="CCCCCC" w:sz="4"/>
              <w:right w:val="none" w:color="FFFFFF" w:sz="0"/>
            </w:tcBorders>
            <w:shd w:fill="FFFFFF" w:val="clear"/>
            <w:tcMar>
              <w:top w:type="dxa" w:w="60"/>
              <w:left w:type="dxa" w:w="100"/>
              <w:bottom w:type="dxa" w:w="60"/>
              <w:right w:type="dxa" w:w="100"/>
            </w:tcMar>
          </w:tcPr>
          <w:p>
            <w:pPr>
              <w:spacing w:after="60" w:before="0"/>
              <w:jc w:val="left"/>
            </w:pPr>
            <w:r>
              <w:rPr>
                <w:rFonts w:ascii="Calibri" w:cs="Calibri" w:eastAsia="Calibri" w:hAnsi="Calibri"/>
                <w:b w:val="false"/>
                <w:bCs w:val="false"/>
                <w:i w:val="false"/>
                <w:iCs w:val="false"/>
                <w:color w:val="4A4A4A"/>
                <w:sz w:val="17"/>
                <w:szCs w:val="17"/>
              </w:rPr>
              <w:t xml:space="preserve">Administrative Management &amp; General Management Consulting Services</w:t>
            </w:r>
          </w:p>
        </w:tc>
      </w:tr>
      <w:tr>
        <w:tc>
          <w:tcPr>
            <w:tcW w:type="dxa" w:w="1800"/>
            <w:tcBorders>
              <w:top w:val="none" w:color="FFFFFF" w:sz="0"/>
              <w:left w:val="none" w:color="FFFFFF" w:sz="0"/>
              <w:bottom w:val="single" w:color="CCCCCC" w:sz="4"/>
              <w:right w:val="none" w:color="FFFFFF" w:sz="0"/>
            </w:tcBorders>
            <w:shd w:fill="F5F5F5" w:val="clear"/>
            <w:tcMar>
              <w:top w:type="dxa" w:w="60"/>
              <w:left w:type="dxa" w:w="100"/>
              <w:bottom w:type="dxa" w:w="60"/>
              <w:right w:type="dxa" w:w="100"/>
            </w:tcMar>
          </w:tcPr>
          <w:p>
            <w:pPr>
              <w:spacing w:after="60" w:before="0"/>
              <w:jc w:val="left"/>
            </w:pPr>
            <w:r>
              <w:rPr>
                <w:rFonts w:ascii="Calibri" w:cs="Calibri" w:eastAsia="Calibri" w:hAnsi="Calibri"/>
                <w:b/>
                <w:bCs/>
                <w:i w:val="false"/>
                <w:iCs w:val="false"/>
                <w:color w:val="1D9E75"/>
                <w:sz w:val="17"/>
                <w:szCs w:val="17"/>
              </w:rPr>
              <w:t xml:space="preserve">621999</w:t>
            </w:r>
          </w:p>
        </w:tc>
        <w:tc>
          <w:tcPr>
            <w:tcW w:type="dxa" w:w="7560"/>
            <w:tcBorders>
              <w:top w:val="none" w:color="FFFFFF" w:sz="0"/>
              <w:left w:val="none" w:color="FFFFFF" w:sz="0"/>
              <w:bottom w:val="single" w:color="CCCCCC" w:sz="4"/>
              <w:right w:val="none" w:color="FFFFFF" w:sz="0"/>
            </w:tcBorders>
            <w:shd w:fill="F5F5F5" w:val="clear"/>
            <w:tcMar>
              <w:top w:type="dxa" w:w="60"/>
              <w:left w:type="dxa" w:w="100"/>
              <w:bottom w:type="dxa" w:w="60"/>
              <w:right w:type="dxa" w:w="100"/>
            </w:tcMar>
          </w:tcPr>
          <w:p>
            <w:pPr>
              <w:spacing w:after="60" w:before="0"/>
              <w:jc w:val="left"/>
            </w:pPr>
            <w:r>
              <w:rPr>
                <w:rFonts w:ascii="Calibri" w:cs="Calibri" w:eastAsia="Calibri" w:hAnsi="Calibri"/>
                <w:b w:val="false"/>
                <w:bCs w:val="false"/>
                <w:i w:val="false"/>
                <w:iCs w:val="false"/>
                <w:color w:val="4A4A4A"/>
                <w:sz w:val="17"/>
                <w:szCs w:val="17"/>
              </w:rPr>
              <w:t xml:space="preserve">All Other Miscellaneous Ambulatory Health Care Services</w:t>
            </w:r>
          </w:p>
        </w:tc>
      </w:tr>
      <w:tr>
        <w:tc>
          <w:tcPr>
            <w:tcW w:type="dxa" w:w="1800"/>
            <w:tcBorders>
              <w:top w:val="none" w:color="FFFFFF" w:sz="0"/>
              <w:left w:val="none" w:color="FFFFFF" w:sz="0"/>
              <w:bottom w:val="single" w:color="CCCCCC" w:sz="4"/>
              <w:right w:val="none" w:color="FFFFFF" w:sz="0"/>
            </w:tcBorders>
            <w:shd w:fill="FFFFFF" w:val="clear"/>
            <w:tcMar>
              <w:top w:type="dxa" w:w="60"/>
              <w:left w:type="dxa" w:w="100"/>
              <w:bottom w:type="dxa" w:w="60"/>
              <w:right w:type="dxa" w:w="100"/>
            </w:tcMar>
          </w:tcPr>
          <w:p>
            <w:pPr>
              <w:spacing w:after="60" w:before="0"/>
              <w:jc w:val="left"/>
            </w:pPr>
            <w:r>
              <w:rPr>
                <w:rFonts w:ascii="Calibri" w:cs="Calibri" w:eastAsia="Calibri" w:hAnsi="Calibri"/>
                <w:b/>
                <w:bCs/>
                <w:i w:val="false"/>
                <w:iCs w:val="false"/>
                <w:color w:val="1D9E75"/>
                <w:sz w:val="17"/>
                <w:szCs w:val="17"/>
              </w:rPr>
              <w:t xml:space="preserve">611430</w:t>
            </w:r>
          </w:p>
        </w:tc>
        <w:tc>
          <w:tcPr>
            <w:tcW w:type="dxa" w:w="7560"/>
            <w:tcBorders>
              <w:top w:val="none" w:color="FFFFFF" w:sz="0"/>
              <w:left w:val="none" w:color="FFFFFF" w:sz="0"/>
              <w:bottom w:val="single" w:color="CCCCCC" w:sz="4"/>
              <w:right w:val="none" w:color="FFFFFF" w:sz="0"/>
            </w:tcBorders>
            <w:shd w:fill="FFFFFF" w:val="clear"/>
            <w:tcMar>
              <w:top w:type="dxa" w:w="60"/>
              <w:left w:type="dxa" w:w="100"/>
              <w:bottom w:type="dxa" w:w="60"/>
              <w:right w:type="dxa" w:w="100"/>
            </w:tcMar>
          </w:tcPr>
          <w:p>
            <w:pPr>
              <w:spacing w:after="60" w:before="0"/>
              <w:jc w:val="left"/>
            </w:pPr>
            <w:r>
              <w:rPr>
                <w:rFonts w:ascii="Calibri" w:cs="Calibri" w:eastAsia="Calibri" w:hAnsi="Calibri"/>
                <w:b w:val="false"/>
                <w:bCs w:val="false"/>
                <w:i w:val="false"/>
                <w:iCs w:val="false"/>
                <w:color w:val="4A4A4A"/>
                <w:sz w:val="17"/>
                <w:szCs w:val="17"/>
              </w:rPr>
              <w:t xml:space="preserve">Professional &amp; Management Development Training</w:t>
            </w:r>
          </w:p>
        </w:tc>
      </w:tr>
      <w:tr>
        <w:tc>
          <w:tcPr>
            <w:tcW w:type="dxa" w:w="1800"/>
            <w:tcBorders>
              <w:top w:val="none" w:color="FFFFFF" w:sz="0"/>
              <w:left w:val="none" w:color="FFFFFF" w:sz="0"/>
              <w:bottom w:val="single" w:color="CCCCCC" w:sz="4"/>
              <w:right w:val="none" w:color="FFFFFF" w:sz="0"/>
            </w:tcBorders>
            <w:shd w:fill="F5F5F5" w:val="clear"/>
            <w:tcMar>
              <w:top w:type="dxa" w:w="60"/>
              <w:left w:type="dxa" w:w="100"/>
              <w:bottom w:type="dxa" w:w="60"/>
              <w:right w:type="dxa" w:w="100"/>
            </w:tcMar>
          </w:tcPr>
          <w:p>
            <w:pPr>
              <w:spacing w:after="60" w:before="0"/>
              <w:jc w:val="left"/>
            </w:pPr>
            <w:r>
              <w:rPr>
                <w:rFonts w:ascii="Calibri" w:cs="Calibri" w:eastAsia="Calibri" w:hAnsi="Calibri"/>
                <w:b/>
                <w:bCs/>
                <w:i w:val="false"/>
                <w:iCs w:val="false"/>
                <w:color w:val="1D9E75"/>
                <w:sz w:val="17"/>
                <w:szCs w:val="17"/>
              </w:rPr>
              <w:t xml:space="preserve">923120</w:t>
            </w:r>
          </w:p>
        </w:tc>
        <w:tc>
          <w:tcPr>
            <w:tcW w:type="dxa" w:w="7560"/>
            <w:tcBorders>
              <w:top w:val="none" w:color="FFFFFF" w:sz="0"/>
              <w:left w:val="none" w:color="FFFFFF" w:sz="0"/>
              <w:bottom w:val="single" w:color="CCCCCC" w:sz="4"/>
              <w:right w:val="none" w:color="FFFFFF" w:sz="0"/>
            </w:tcBorders>
            <w:shd w:fill="F5F5F5" w:val="clear"/>
            <w:tcMar>
              <w:top w:type="dxa" w:w="60"/>
              <w:left w:type="dxa" w:w="100"/>
              <w:bottom w:type="dxa" w:w="60"/>
              <w:right w:type="dxa" w:w="100"/>
            </w:tcMar>
          </w:tcPr>
          <w:p>
            <w:pPr>
              <w:spacing w:after="60" w:before="0"/>
              <w:jc w:val="left"/>
            </w:pPr>
            <w:r>
              <w:rPr>
                <w:rFonts w:ascii="Calibri" w:cs="Calibri" w:eastAsia="Calibri" w:hAnsi="Calibri"/>
                <w:b w:val="false"/>
                <w:bCs w:val="false"/>
                <w:i w:val="false"/>
                <w:iCs w:val="false"/>
                <w:color w:val="4A4A4A"/>
                <w:sz w:val="17"/>
                <w:szCs w:val="17"/>
              </w:rPr>
              <w:t xml:space="preserve">Administration of Public Health Programs</w:t>
            </w:r>
          </w:p>
        </w:tc>
      </w:tr>
    </w:tbl>
    <w:p>
      <w:pPr>
        <w:spacing w:after="80" w:before="0"/>
        <w:jc w:val="left"/>
      </w:pPr>
      <w:r>
        <w:rPr>
          <w:rFonts w:ascii="Calibri" w:cs="Calibri" w:eastAsia="Calibri" w:hAnsi="Calibri"/>
          <w:b w:val="false"/>
          <w:bCs w:val="false"/>
          <w:i w:val="false"/>
          <w:iCs w:val="false"/>
          <w:color w:val="4A4A4A"/>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80"/>
              <w:left w:type="dxa" w:w="0"/>
              <w:bottom w:type="dxa" w:w="80"/>
              <w:right w:type="dxa" w:w="120"/>
            </w:tcMar>
          </w:tcPr>
          <w:p>
            <w:pPr>
              <w:spacing w:after="60" w:before="0"/>
              <w:jc w:val="left"/>
            </w:pPr>
            <w:r>
              <w:rPr>
                <w:rFonts w:ascii="Calibri" w:cs="Calibri" w:eastAsia="Calibri" w:hAnsi="Calibri"/>
                <w:b/>
                <w:bCs/>
                <w:i w:val="false"/>
                <w:iCs w:val="false"/>
                <w:color w:val="085041"/>
                <w:sz w:val="18"/>
                <w:szCs w:val="18"/>
              </w:rPr>
              <w:t xml:space="preserve">Business Information</w:t>
            </w:r>
          </w:p>
          <w:p>
            <w:pPr>
              <w:spacing w:after="20" w:before="20"/>
              <w:ind w:left="160"/>
              <w:jc w:val="left"/>
            </w:pPr>
            <w:r>
              <w:rPr>
                <w:rFonts w:ascii="Calibri" w:cs="Calibri" w:eastAsia="Calibri" w:hAnsi="Calibri"/>
                <w:b/>
                <w:bCs/>
                <w:i w:val="false"/>
                <w:iCs w:val="false"/>
                <w:color w:val="085041"/>
                <w:sz w:val="17"/>
                <w:szCs w:val="17"/>
              </w:rPr>
              <w:t xml:space="preserve">Legal Name: </w:t>
            </w:r>
            <w:r>
              <w:rPr>
                <w:rFonts w:ascii="Calibri" w:cs="Calibri" w:eastAsia="Calibri" w:hAnsi="Calibri"/>
                <w:b w:val="false"/>
                <w:bCs w:val="false"/>
                <w:i w:val="false"/>
                <w:iCs w:val="false"/>
                <w:color w:val="4A4A4A"/>
                <w:sz w:val="17"/>
                <w:szCs w:val="17"/>
              </w:rPr>
              <w:t xml:space="preserve">Wealness</w:t>
            </w:r>
          </w:p>
          <w:p>
            <w:pPr>
              <w:spacing w:after="20" w:before="20"/>
              <w:ind w:left="160"/>
              <w:jc w:val="left"/>
            </w:pPr>
            <w:r>
              <w:rPr>
                <w:rFonts w:ascii="Calibri" w:cs="Calibri" w:eastAsia="Calibri" w:hAnsi="Calibri"/>
                <w:b/>
                <w:bCs/>
                <w:i w:val="false"/>
                <w:iCs w:val="false"/>
                <w:color w:val="085041"/>
                <w:sz w:val="17"/>
                <w:szCs w:val="17"/>
              </w:rPr>
              <w:t xml:space="preserve">Business Size: </w:t>
            </w:r>
            <w:r>
              <w:rPr>
                <w:rFonts w:ascii="Calibri" w:cs="Calibri" w:eastAsia="Calibri" w:hAnsi="Calibri"/>
                <w:b w:val="false"/>
                <w:bCs w:val="false"/>
                <w:i w:val="false"/>
                <w:iCs w:val="false"/>
                <w:color w:val="4A4A4A"/>
                <w:sz w:val="17"/>
                <w:szCs w:val="17"/>
              </w:rPr>
              <w:t xml:space="preserve">Small Business</w:t>
            </w:r>
          </w:p>
          <w:p>
            <w:pPr>
              <w:spacing w:after="20" w:before="20"/>
              <w:ind w:left="160"/>
              <w:jc w:val="left"/>
            </w:pPr>
            <w:r>
              <w:rPr>
                <w:rFonts w:ascii="Calibri" w:cs="Calibri" w:eastAsia="Calibri" w:hAnsi="Calibri"/>
                <w:b/>
                <w:bCs/>
                <w:i w:val="false"/>
                <w:iCs w:val="false"/>
                <w:color w:val="085041"/>
                <w:sz w:val="17"/>
                <w:szCs w:val="17"/>
              </w:rPr>
              <w:t xml:space="preserve">Socioeconomic Status: </w:t>
            </w:r>
            <w:r>
              <w:rPr>
                <w:rFonts w:ascii="Calibri" w:cs="Calibri" w:eastAsia="Calibri" w:hAnsi="Calibri"/>
                <w:b w:val="false"/>
                <w:bCs w:val="false"/>
                <w:i w:val="false"/>
                <w:iCs w:val="false"/>
                <w:color w:val="4A4A4A"/>
                <w:sz w:val="17"/>
                <w:szCs w:val="17"/>
              </w:rPr>
              <w:t xml:space="preserve">Woman-Owned Small Business (WOSB)</w:t>
            </w:r>
          </w:p>
          <w:p>
            <w:pPr>
              <w:spacing w:after="20" w:before="20"/>
              <w:ind w:left="160"/>
              <w:jc w:val="left"/>
            </w:pPr>
            <w:r>
              <w:rPr>
                <w:rFonts w:ascii="Calibri" w:cs="Calibri" w:eastAsia="Calibri" w:hAnsi="Calibri"/>
                <w:b/>
                <w:bCs/>
                <w:i w:val="false"/>
                <w:iCs w:val="false"/>
                <w:color w:val="085041"/>
                <w:sz w:val="17"/>
                <w:szCs w:val="17"/>
              </w:rPr>
              <w:t xml:space="preserve">Business Type: </w:t>
            </w:r>
            <w:r>
              <w:rPr>
                <w:rFonts w:ascii="Calibri" w:cs="Calibri" w:eastAsia="Calibri" w:hAnsi="Calibri"/>
                <w:b w:val="false"/>
                <w:bCs w:val="false"/>
                <w:i w:val="false"/>
                <w:iCs w:val="false"/>
                <w:color w:val="4A4A4A"/>
                <w:sz w:val="17"/>
                <w:szCs w:val="17"/>
              </w:rPr>
              <w:t xml:space="preserve">For-Profit</w:t>
            </w:r>
          </w:p>
          <w:p>
            <w:pPr>
              <w:spacing w:after="20" w:before="20"/>
              <w:ind w:left="160"/>
              <w:jc w:val="left"/>
            </w:pPr>
            <w:r>
              <w:rPr>
                <w:rFonts w:ascii="Calibri" w:cs="Calibri" w:eastAsia="Calibri" w:hAnsi="Calibri"/>
                <w:b/>
                <w:bCs/>
                <w:i w:val="false"/>
                <w:iCs w:val="false"/>
                <w:color w:val="085041"/>
                <w:sz w:val="17"/>
                <w:szCs w:val="17"/>
              </w:rPr>
              <w:t xml:space="preserve">Location: </w:t>
            </w:r>
            <w:r>
              <w:rPr>
                <w:rFonts w:ascii="Calibri" w:cs="Calibri" w:eastAsia="Calibri" w:hAnsi="Calibri"/>
                <w:b w:val="false"/>
                <w:bCs w:val="false"/>
                <w:i w:val="false"/>
                <w:iCs w:val="false"/>
                <w:color w:val="4A4A4A"/>
                <w:sz w:val="17"/>
                <w:szCs w:val="17"/>
              </w:rPr>
              <w:t xml:space="preserve">North Charleston, SC 29406</w:t>
            </w:r>
          </w:p>
          <w:p>
            <w:pPr>
              <w:spacing w:after="20" w:before="20"/>
              <w:ind w:left="160"/>
              <w:jc w:val="left"/>
            </w:pPr>
            <w:r>
              <w:rPr>
                <w:rFonts w:ascii="Calibri" w:cs="Calibri" w:eastAsia="Calibri" w:hAnsi="Calibri"/>
                <w:b/>
                <w:bCs/>
                <w:i w:val="false"/>
                <w:iCs w:val="false"/>
                <w:color w:val="085041"/>
                <w:sz w:val="17"/>
                <w:szCs w:val="17"/>
              </w:rPr>
              <w:t xml:space="preserve">UEI / SAM.gov: </w:t>
            </w:r>
            <w:r>
              <w:rPr>
                <w:rFonts w:ascii="Calibri" w:cs="Calibri" w:eastAsia="Calibri" w:hAnsi="Calibri"/>
                <w:b w:val="false"/>
                <w:bCs w:val="false"/>
                <w:i w:val="false"/>
                <w:iCs w:val="false"/>
                <w:color w:val="4A4A4A"/>
                <w:sz w:val="17"/>
                <w:szCs w:val="17"/>
              </w:rPr>
              <w:t xml:space="preserve">Available upon request</w:t>
            </w:r>
          </w:p>
        </w:tc>
        <w:tc>
          <w:tcPr>
            <w:tcW w:type="dxa" w:w="4680"/>
            <w:tcBorders>
              <w:top w:val="none" w:color="FFFFFF" w:sz="0"/>
              <w:left w:val="single" w:color="CCCCCC" w:sz="4"/>
              <w:bottom w:val="none" w:color="FFFFFF" w:sz="0"/>
              <w:right w:val="none" w:color="FFFFFF" w:sz="0"/>
            </w:tcBorders>
            <w:tcMar>
              <w:top w:type="dxa" w:w="80"/>
              <w:left w:type="dxa" w:w="120"/>
              <w:bottom w:type="dxa" w:w="80"/>
              <w:right w:type="dxa" w:w="0"/>
            </w:tcMar>
          </w:tcPr>
          <w:p>
            <w:pPr>
              <w:spacing w:after="60" w:before="0"/>
              <w:jc w:val="left"/>
            </w:pPr>
            <w:r>
              <w:rPr>
                <w:rFonts w:ascii="Calibri" w:cs="Calibri" w:eastAsia="Calibri" w:hAnsi="Calibri"/>
                <w:b/>
                <w:bCs/>
                <w:i w:val="false"/>
                <w:iCs w:val="false"/>
                <w:color w:val="085041"/>
                <w:sz w:val="18"/>
                <w:szCs w:val="18"/>
              </w:rPr>
              <w:t xml:space="preserve">Points of Contact</w:t>
            </w:r>
          </w:p>
          <w:p>
            <w:pPr>
              <w:spacing w:after="20" w:before="20"/>
              <w:ind w:left="160"/>
              <w:jc w:val="left"/>
            </w:pPr>
            <w:r>
              <w:rPr>
                <w:rFonts w:ascii="Calibri" w:cs="Calibri" w:eastAsia="Calibri" w:hAnsi="Calibri"/>
                <w:b/>
                <w:bCs/>
                <w:i w:val="false"/>
                <w:iCs w:val="false"/>
                <w:color w:val="085041"/>
                <w:sz w:val="17"/>
                <w:szCs w:val="17"/>
              </w:rPr>
              <w:t xml:space="preserve">Principal: </w:t>
            </w:r>
            <w:r>
              <w:rPr>
                <w:rFonts w:ascii="Calibri" w:cs="Calibri" w:eastAsia="Calibri" w:hAnsi="Calibri"/>
                <w:b w:val="false"/>
                <w:bCs w:val="false"/>
                <w:i w:val="false"/>
                <w:iCs w:val="false"/>
                <w:color w:val="4A4A4A"/>
                <w:sz w:val="17"/>
                <w:szCs w:val="17"/>
              </w:rPr>
              <w:t xml:space="preserve">Dr. NiAsia Hazelton-Smalls, DrHA, MPH</w:t>
            </w:r>
          </w:p>
          <w:p>
            <w:pPr>
              <w:spacing w:after="20" w:before="20"/>
              <w:ind w:left="160"/>
              <w:jc w:val="left"/>
            </w:pPr>
            <w:r>
              <w:rPr>
                <w:rFonts w:ascii="Calibri" w:cs="Calibri" w:eastAsia="Calibri" w:hAnsi="Calibri"/>
                <w:b/>
                <w:bCs/>
                <w:i w:val="false"/>
                <w:iCs w:val="false"/>
                <w:color w:val="085041"/>
                <w:sz w:val="17"/>
                <w:szCs w:val="17"/>
              </w:rPr>
              <w:t xml:space="preserve">Title: </w:t>
            </w:r>
            <w:r>
              <w:rPr>
                <w:rFonts w:ascii="Calibri" w:cs="Calibri" w:eastAsia="Calibri" w:hAnsi="Calibri"/>
                <w:b w:val="false"/>
                <w:bCs w:val="false"/>
                <w:i w:val="false"/>
                <w:iCs w:val="false"/>
                <w:color w:val="4A4A4A"/>
                <w:sz w:val="17"/>
                <w:szCs w:val="17"/>
              </w:rPr>
              <w:t xml:space="preserve">Founder &amp; Principal Consultant</w:t>
            </w:r>
          </w:p>
          <w:p>
            <w:pPr>
              <w:spacing w:after="20" w:before="20"/>
              <w:ind w:left="160"/>
              <w:jc w:val="left"/>
            </w:pPr>
            <w:r>
              <w:rPr>
                <w:rFonts w:ascii="Calibri" w:cs="Calibri" w:eastAsia="Calibri" w:hAnsi="Calibri"/>
                <w:b/>
                <w:bCs/>
                <w:i w:val="false"/>
                <w:iCs w:val="false"/>
                <w:color w:val="085041"/>
                <w:sz w:val="17"/>
                <w:szCs w:val="17"/>
              </w:rPr>
              <w:t xml:space="preserve">Email: </w:t>
            </w:r>
            <w:r>
              <w:rPr>
                <w:rFonts w:ascii="Calibri" w:cs="Calibri" w:eastAsia="Calibri" w:hAnsi="Calibri"/>
                <w:b w:val="false"/>
                <w:bCs w:val="false"/>
                <w:i w:val="false"/>
                <w:iCs w:val="false"/>
                <w:color w:val="4A4A4A"/>
                <w:sz w:val="17"/>
                <w:szCs w:val="17"/>
              </w:rPr>
              <w:t xml:space="preserve">connect@wealness.org</w:t>
            </w:r>
          </w:p>
          <w:p>
            <w:pPr>
              <w:spacing w:after="20" w:before="20"/>
              <w:ind w:left="160"/>
              <w:jc w:val="left"/>
            </w:pPr>
            <w:r>
              <w:rPr>
                <w:rFonts w:ascii="Calibri" w:cs="Calibri" w:eastAsia="Calibri" w:hAnsi="Calibri"/>
                <w:b/>
                <w:bCs/>
                <w:i w:val="false"/>
                <w:iCs w:val="false"/>
                <w:color w:val="085041"/>
                <w:sz w:val="17"/>
                <w:szCs w:val="17"/>
              </w:rPr>
              <w:t xml:space="preserve">Phone: </w:t>
            </w:r>
            <w:r>
              <w:rPr>
                <w:rFonts w:ascii="Calibri" w:cs="Calibri" w:eastAsia="Calibri" w:hAnsi="Calibri"/>
                <w:b w:val="false"/>
                <w:bCs w:val="false"/>
                <w:i w:val="false"/>
                <w:iCs w:val="false"/>
                <w:color w:val="4A4A4A"/>
                <w:sz w:val="17"/>
                <w:szCs w:val="17"/>
              </w:rPr>
              <w:t xml:space="preserve">+1 843-900-7688</w:t>
            </w:r>
          </w:p>
          <w:p>
            <w:pPr>
              <w:spacing w:after="20" w:before="20"/>
              <w:ind w:left="160"/>
              <w:jc w:val="left"/>
            </w:pPr>
            <w:r>
              <w:rPr>
                <w:rFonts w:ascii="Calibri" w:cs="Calibri" w:eastAsia="Calibri" w:hAnsi="Calibri"/>
                <w:b/>
                <w:bCs/>
                <w:i w:val="false"/>
                <w:iCs w:val="false"/>
                <w:color w:val="085041"/>
                <w:sz w:val="17"/>
                <w:szCs w:val="17"/>
              </w:rPr>
              <w:t xml:space="preserve">Website: </w:t>
            </w:r>
            <w:r>
              <w:rPr>
                <w:rFonts w:ascii="Calibri" w:cs="Calibri" w:eastAsia="Calibri" w:hAnsi="Calibri"/>
                <w:b w:val="false"/>
                <w:bCs w:val="false"/>
                <w:i w:val="false"/>
                <w:iCs w:val="false"/>
                <w:color w:val="4A4A4A"/>
                <w:sz w:val="17"/>
                <w:szCs w:val="17"/>
              </w:rPr>
              <w:t xml:space="preserve">www.wealness.org</w:t>
            </w:r>
          </w:p>
          <w:p>
            <w:pPr>
              <w:spacing w:after="20" w:before="20"/>
              <w:ind w:left="160"/>
              <w:jc w:val="left"/>
            </w:pPr>
            <w:r>
              <w:rPr>
                <w:rFonts w:ascii="Calibri" w:cs="Calibri" w:eastAsia="Calibri" w:hAnsi="Calibri"/>
                <w:b/>
                <w:bCs/>
                <w:i w:val="false"/>
                <w:iCs w:val="false"/>
                <w:color w:val="085041"/>
                <w:sz w:val="17"/>
                <w:szCs w:val="17"/>
              </w:rPr>
              <w:t xml:space="preserve">Hours: </w:t>
            </w:r>
            <w:r>
              <w:rPr>
                <w:rFonts w:ascii="Calibri" w:cs="Calibri" w:eastAsia="Calibri" w:hAnsi="Calibri"/>
                <w:b w:val="false"/>
                <w:bCs w:val="false"/>
                <w:i w:val="false"/>
                <w:iCs w:val="false"/>
                <w:color w:val="4A4A4A"/>
                <w:sz w:val="17"/>
                <w:szCs w:val="17"/>
              </w:rPr>
              <w:t xml:space="preserve">Tue – Fri: 9:30am – 2:00pm EST</w:t>
            </w:r>
          </w:p>
        </w:tc>
      </w:tr>
    </w:tbl>
    <w:p>
      <w:pPr>
        <w:spacing w:after="120" w:before="0"/>
        <w:jc w:val="left"/>
      </w:pPr>
      <w:r>
        <w:rPr>
          <w:rFonts w:ascii="Calibri" w:cs="Calibri" w:eastAsia="Calibri" w:hAnsi="Calibri"/>
          <w:b w:val="false"/>
          <w:bCs w:val="false"/>
          <w:i w:val="false"/>
          <w:iCs w:val="false"/>
          <w:color w:val="4A4A4A"/>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85041" w:val="clear"/>
            <w:tcMar>
              <w:top w:type="dxa" w:w="60"/>
              <w:left w:type="dxa" w:w="120"/>
              <w:bottom w:type="dxa" w:w="60"/>
              <w:right w:type="dxa" w:w="120"/>
            </w:tcMar>
          </w:tcPr>
          <w:p>
            <w:pPr>
              <w:spacing w:after="60" w:before="0"/>
              <w:jc w:val="left"/>
            </w:pPr>
            <w:r>
              <w:rPr>
                <w:rFonts w:ascii="Calibri" w:cs="Calibri" w:eastAsia="Calibri" w:hAnsi="Calibri"/>
                <w:b/>
                <w:bCs/>
                <w:i w:val="false"/>
                <w:iCs w:val="false"/>
                <w:color w:val="FFFFFF"/>
                <w:sz w:val="20"/>
                <w:szCs w:val="20"/>
              </w:rPr>
              <w:t xml:space="preserve">TARGET AGENCIES &amp; PRIME CONTRACTORS</w:t>
            </w:r>
          </w:p>
        </w:tc>
      </w:tr>
    </w:tbl>
    <w:p>
      <w:pPr>
        <w:spacing w:after="60" w:before="0"/>
        <w:jc w:val="left"/>
      </w:pPr>
      <w:r>
        <w:rPr>
          <w:rFonts w:ascii="Calibri" w:cs="Calibri" w:eastAsia="Calibri" w:hAnsi="Calibri"/>
          <w:b w:val="false"/>
          <w:bCs w:val="false"/>
          <w:i w:val="false"/>
          <w:iCs w:val="false"/>
          <w:color w:val="4A4A4A"/>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80"/>
              <w:left w:type="dxa" w:w="0"/>
              <w:bottom w:type="dxa" w:w="80"/>
              <w:right w:type="dxa" w:w="120"/>
            </w:tcMar>
          </w:tcPr>
          <w:p>
            <w:pPr>
              <w:spacing w:after="60" w:before="0"/>
              <w:jc w:val="left"/>
            </w:pPr>
            <w:r>
              <w:rPr>
                <w:rFonts w:ascii="Calibri" w:cs="Calibri" w:eastAsia="Calibri" w:hAnsi="Calibri"/>
                <w:b/>
                <w:bCs/>
                <w:i w:val="false"/>
                <w:iCs w:val="false"/>
                <w:color w:val="085041"/>
                <w:sz w:val="18"/>
                <w:szCs w:val="18"/>
              </w:rPr>
              <w:t xml:space="preserve">Federal &amp; State Agencies</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U.S. Dept of Health &amp; Human Services (HHS)</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Centers for Disease Control &amp; Prevention (CDC)</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Health Resources &amp; Services Administration (HRSA)</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U.S. Department of Education</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Office of Minority Health (OMH)</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South Carolina DHEC</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SC Dept of Disabilities &amp; Special Needs (DDSN)</w:t>
            </w:r>
          </w:p>
        </w:tc>
        <w:tc>
          <w:tcPr>
            <w:tcW w:type="dxa" w:w="4680"/>
            <w:tcBorders>
              <w:top w:val="none" w:color="FFFFFF" w:sz="0"/>
              <w:left w:val="single" w:color="CCCCCC" w:sz="4"/>
              <w:bottom w:val="none" w:color="FFFFFF" w:sz="0"/>
              <w:right w:val="none" w:color="FFFFFF" w:sz="0"/>
            </w:tcBorders>
            <w:tcMar>
              <w:top w:type="dxa" w:w="80"/>
              <w:left w:type="dxa" w:w="120"/>
              <w:bottom w:type="dxa" w:w="80"/>
              <w:right w:type="dxa" w:w="0"/>
            </w:tcMar>
          </w:tcPr>
          <w:p>
            <w:pPr>
              <w:spacing w:after="60" w:before="0"/>
              <w:jc w:val="left"/>
            </w:pPr>
            <w:r>
              <w:rPr>
                <w:rFonts w:ascii="Calibri" w:cs="Calibri" w:eastAsia="Calibri" w:hAnsi="Calibri"/>
                <w:b/>
                <w:bCs/>
                <w:i w:val="false"/>
                <w:iCs w:val="false"/>
                <w:color w:val="085041"/>
                <w:sz w:val="18"/>
                <w:szCs w:val="18"/>
              </w:rPr>
              <w:t xml:space="preserve">Prime Contractor Targets</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ICF International</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Abt Associates</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JSI Research &amp; Training Institute</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Booz Allen Hamilton</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Umemba Health</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Advocates for Human Potential (AHP)</w:t>
            </w:r>
          </w:p>
          <w:p>
            <w:pPr>
              <w:spacing w:after="20" w:before="20"/>
              <w:ind w:left="80"/>
              <w:jc w:val="left"/>
            </w:pPr>
            <w:r>
              <w:rPr>
                <w:rFonts w:ascii="Calibri" w:cs="Calibri" w:eastAsia="Calibri" w:hAnsi="Calibri"/>
                <w:b w:val="false"/>
                <w:bCs w:val="false"/>
                <w:i w:val="false"/>
                <w:iCs w:val="false"/>
                <w:color w:val="1D9E75"/>
                <w:sz w:val="17"/>
                <w:szCs w:val="17"/>
              </w:rPr>
              <w:t xml:space="preserve">▪  </w:t>
            </w:r>
            <w:r>
              <w:rPr>
                <w:rFonts w:ascii="Calibri" w:cs="Calibri" w:eastAsia="Calibri" w:hAnsi="Calibri"/>
                <w:b w:val="false"/>
                <w:bCs w:val="false"/>
                <w:i w:val="false"/>
                <w:iCs w:val="false"/>
                <w:color w:val="4A4A4A"/>
                <w:sz w:val="17"/>
                <w:szCs w:val="17"/>
              </w:rPr>
              <w:t xml:space="preserve">RTI International</w:t>
            </w:r>
          </w:p>
        </w:tc>
      </w:tr>
    </w:tbl>
    <w:p>
      <w:pPr>
        <w:spacing w:after="120" w:before="0"/>
        <w:jc w:val="left"/>
      </w:pPr>
      <w:r>
        <w:rPr>
          <w:rFonts w:ascii="Calibri" w:cs="Calibri" w:eastAsia="Calibri" w:hAnsi="Calibri"/>
          <w:b w:val="false"/>
          <w:bCs w:val="false"/>
          <w:i w:val="false"/>
          <w:iCs w:val="false"/>
          <w:color w:val="4A4A4A"/>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85041" w:val="clear"/>
            <w:tcMar>
              <w:top w:type="dxa" w:w="80"/>
              <w:left w:type="dxa" w:w="160"/>
              <w:bottom w:type="dxa" w:w="80"/>
              <w:right w:type="dxa" w:w="160"/>
            </w:tcMar>
          </w:tcPr>
          <w:p>
            <w:pPr>
              <w:spacing w:after="60" w:before="0"/>
              <w:jc w:val="center"/>
            </w:pPr>
            <w:r>
              <w:rPr>
                <w:rFonts w:ascii="Calibri" w:cs="Calibri" w:eastAsia="Calibri" w:hAnsi="Calibri"/>
                <w:b w:val="false"/>
                <w:bCs w:val="false"/>
                <w:i w:val="false"/>
                <w:iCs w:val="false"/>
                <w:color w:val="FFFFFF"/>
                <w:sz w:val="16"/>
                <w:szCs w:val="16"/>
              </w:rPr>
              <w:t xml:space="preserve">Wealness | The Art of Healthcare  ·  </w:t>
            </w:r>
            <w:r>
              <w:rPr>
                <w:rFonts w:ascii="Calibri" w:cs="Calibri" w:eastAsia="Calibri" w:hAnsi="Calibri"/>
                <w:b w:val="false"/>
                <w:bCs w:val="false"/>
                <w:i w:val="false"/>
                <w:iCs w:val="false"/>
                <w:color w:val="E1F5EE"/>
                <w:sz w:val="16"/>
                <w:szCs w:val="16"/>
              </w:rPr>
              <w:t xml:space="preserve">connect@wealness.org</w:t>
            </w:r>
            <w:r>
              <w:rPr>
                <w:rFonts w:ascii="Calibri" w:cs="Calibri" w:eastAsia="Calibri" w:hAnsi="Calibri"/>
                <w:b w:val="false"/>
                <w:bCs w:val="false"/>
                <w:i w:val="false"/>
                <w:iCs w:val="false"/>
                <w:color w:val="FFFFFF"/>
                <w:sz w:val="16"/>
                <w:szCs w:val="16"/>
              </w:rPr>
              <w:t xml:space="preserve">  ·  +1 843-900-7688  ·  </w:t>
            </w:r>
            <w:r>
              <w:rPr>
                <w:rFonts w:ascii="Calibri" w:cs="Calibri" w:eastAsia="Calibri" w:hAnsi="Calibri"/>
                <w:b w:val="false"/>
                <w:bCs w:val="false"/>
                <w:i w:val="false"/>
                <w:iCs w:val="false"/>
                <w:color w:val="E1F5EE"/>
                <w:sz w:val="16"/>
                <w:szCs w:val="16"/>
              </w:rPr>
              <w:t xml:space="preserve">www.wealness.org</w:t>
            </w:r>
            <w:r>
              <w:rPr>
                <w:rFonts w:ascii="Calibri" w:cs="Calibri" w:eastAsia="Calibri" w:hAnsi="Calibri"/>
                <w:b w:val="false"/>
                <w:bCs w:val="false"/>
                <w:i w:val="false"/>
                <w:iCs w:val="false"/>
                <w:color w:val="FFFFFF"/>
                <w:sz w:val="16"/>
                <w:szCs w:val="16"/>
              </w:rPr>
              <w:t xml:space="preserve">  ·  North Charleston, SC</w:t>
            </w:r>
          </w:p>
        </w:tc>
      </w:tr>
    </w:tbl>
    <w:sectPr>
      <w:pgSz w:w="12240" w:h="15840"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2026-08-26T06:10:37.019Z</dcterms:created>
  <dcterms:modified xsi:type="dcterms:W3CDTF">2026-08-26T06:10:37.032Z</dcterms:modified>
</cp:coreProperties>
</file>

<file path=docProps/custom.xml><?xml version="1.0" encoding="utf-8"?>
<Properties xmlns="http://schemas.openxmlformats.org/officeDocument/2006/custom-properties" xmlns:vt="http://schemas.openxmlformats.org/officeDocument/2006/docPropsVTypes"/>
</file>